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B70" w:rsidRPr="00546B70" w:rsidRDefault="00025C39" w:rsidP="00546B70">
      <w:pPr>
        <w:rPr>
          <w:rFonts w:ascii="Times New Roman" w:hAnsi="Times New Roman" w:cs="Times New Roman"/>
          <w:bCs/>
          <w:i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Nr 2</w:t>
      </w:r>
      <w:r w:rsidR="00546B70" w:rsidRPr="00546B70">
        <w:rPr>
          <w:rFonts w:ascii="Times New Roman" w:hAnsi="Times New Roman" w:cs="Times New Roman"/>
          <w:sz w:val="24"/>
          <w:szCs w:val="24"/>
        </w:rPr>
        <w:t>.1 –</w:t>
      </w:r>
      <w:r w:rsidR="00546B70" w:rsidRPr="00546B70">
        <w:rPr>
          <w:rFonts w:ascii="Times New Roman" w:hAnsi="Times New Roman" w:cs="Times New Roman"/>
          <w:bCs/>
          <w:iCs/>
          <w:sz w:val="24"/>
          <w:szCs w:val="24"/>
        </w:rPr>
        <w:t xml:space="preserve"> Opis przedmiotu zamówienia - Oświadczenie o spełnieniu wymagań jakościowych dla części I</w:t>
      </w:r>
    </w:p>
    <w:p w:rsidR="00546B70" w:rsidRPr="00546B70" w:rsidRDefault="00546B70" w:rsidP="00546B7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6B70">
        <w:rPr>
          <w:rFonts w:ascii="Times New Roman" w:hAnsi="Times New Roman" w:cs="Times New Roman"/>
          <w:b/>
          <w:bCs/>
          <w:sz w:val="24"/>
          <w:szCs w:val="24"/>
        </w:rPr>
        <w:t>Zestawy jednorazowe do poboru osocza metodą plazmaferezy automatycznej na posiadanych separatorach PCS2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5337"/>
        <w:gridCol w:w="3021"/>
      </w:tblGrid>
      <w:tr w:rsidR="00546B70" w:rsidTr="00546B70">
        <w:tc>
          <w:tcPr>
            <w:tcW w:w="704" w:type="dxa"/>
          </w:tcPr>
          <w:p w:rsidR="00546B70" w:rsidRDefault="00546B70" w:rsidP="00546B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L.p.</w:t>
            </w:r>
          </w:p>
        </w:tc>
        <w:tc>
          <w:tcPr>
            <w:tcW w:w="5337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b/>
                <w:sz w:val="24"/>
                <w:szCs w:val="24"/>
              </w:rPr>
              <w:t>Wymagane jest spełnienie następujących warunków granicznych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021" w:type="dxa"/>
          </w:tcPr>
          <w:p w:rsidR="00546B70" w:rsidRDefault="00546B70" w:rsidP="00546B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Warunek spełniony:</w:t>
            </w:r>
          </w:p>
        </w:tc>
      </w:tr>
      <w:tr w:rsidR="00546B70" w:rsidTr="00546B70">
        <w:tc>
          <w:tcPr>
            <w:tcW w:w="704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7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Zestawy jednorazowego użytku, sterylne, rozłączne (tzn. takie, które wymagają połączenia w trakcie instalacji na separatorze)</w:t>
            </w:r>
          </w:p>
        </w:tc>
        <w:tc>
          <w:tcPr>
            <w:tcW w:w="3021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TAK/NIE</w:t>
            </w:r>
          </w:p>
        </w:tc>
      </w:tr>
      <w:tr w:rsidR="00546B70" w:rsidTr="00546B70">
        <w:tc>
          <w:tcPr>
            <w:tcW w:w="704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7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 xml:space="preserve">Zestawy umożliwiające pobranie osocza w ilości 650 ml netto w trakcie jednej procedury – z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pojedynczego wkłucia</w:t>
            </w:r>
          </w:p>
        </w:tc>
        <w:tc>
          <w:tcPr>
            <w:tcW w:w="3021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TAK/NIE</w:t>
            </w:r>
          </w:p>
        </w:tc>
      </w:tr>
      <w:tr w:rsidR="00546B70" w:rsidTr="00546B70">
        <w:tc>
          <w:tcPr>
            <w:tcW w:w="704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7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Zestawy wyposażone w pojemnik do pobierania osocza z tworzywa umożliwiającego szokowe zamrożenie osocza w temperaturze – 60°C i przechowywanie w temperaturze poniżej – 25° z zachowaniem jałowości i trwałości pojemnika</w:t>
            </w:r>
          </w:p>
        </w:tc>
        <w:tc>
          <w:tcPr>
            <w:tcW w:w="3021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TAK/NIE</w:t>
            </w:r>
          </w:p>
        </w:tc>
      </w:tr>
      <w:tr w:rsidR="00546B70" w:rsidTr="00546B70">
        <w:tc>
          <w:tcPr>
            <w:tcW w:w="704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7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 xml:space="preserve">Każdy końcowy pojemnik do przechowywania osocza musi być wyposażony w elastyczne dreny bez łączeń z możliwością ich łatwego  jednostajnego rolowania i skutecznego wykonywania </w:t>
            </w:r>
            <w:proofErr w:type="spellStart"/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zgrzewów</w:t>
            </w:r>
            <w:proofErr w:type="spellEnd"/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, celem pobrania próbek do badań kontroli jakości. Długość drenów od 180 do 190 cm , łącznik rotora do połączenia rotora w wirówce</w:t>
            </w:r>
          </w:p>
        </w:tc>
        <w:tc>
          <w:tcPr>
            <w:tcW w:w="3021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TAK/NIE</w:t>
            </w:r>
          </w:p>
        </w:tc>
      </w:tr>
      <w:tr w:rsidR="00546B70" w:rsidTr="00546B70">
        <w:tc>
          <w:tcPr>
            <w:tcW w:w="704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7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Pojemniki do przechowywania osocza zawierające co najmniej 2 porty, zabezpieczone błoną od wewnątrz oraz odpowiednią ochroną z zewnątrz zapewniającą jałowość, umożliwiające łatwy dostęp do podłączenia</w:t>
            </w:r>
            <w:r w:rsidRPr="00546B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zestawu do przetoczenia</w:t>
            </w:r>
          </w:p>
        </w:tc>
        <w:tc>
          <w:tcPr>
            <w:tcW w:w="3021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TAK/NIE</w:t>
            </w:r>
          </w:p>
        </w:tc>
      </w:tr>
      <w:tr w:rsidR="00546B70" w:rsidTr="00546B70">
        <w:tc>
          <w:tcPr>
            <w:tcW w:w="704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7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Każdy pojemnik do przechowywania osocza jest wyposażony w elastyczny dren bez łączeń z możliwością łatwego rolowania o długości od 70 cm do 75cm bez dodatkowych elementów nie zmieniających wagi po zawieszeniu na separatorze</w:t>
            </w:r>
          </w:p>
        </w:tc>
        <w:tc>
          <w:tcPr>
            <w:tcW w:w="3021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TAK/NIE</w:t>
            </w:r>
          </w:p>
        </w:tc>
      </w:tr>
      <w:tr w:rsidR="00546B70" w:rsidTr="00546B70">
        <w:tc>
          <w:tcPr>
            <w:tcW w:w="704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7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Centralnie na dolnej krawędzi pojemników do przechowywania osocza podłużne nacięcie materiału pojemnika o długości około 2 cm, umożliwiające zawieszanie pojemników na haczykach statywów transfuzyjnych</w:t>
            </w:r>
          </w:p>
        </w:tc>
        <w:tc>
          <w:tcPr>
            <w:tcW w:w="3021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TAK/NIE</w:t>
            </w:r>
          </w:p>
        </w:tc>
      </w:tr>
      <w:tr w:rsidR="00546B70" w:rsidTr="00546B70">
        <w:tc>
          <w:tcPr>
            <w:tcW w:w="704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337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 xml:space="preserve">Na pojemnikach do przechowywania osocza muszą być trwale umocowane etykiety, które nie mogą ulegać uszkodzeniu ani odklejeniu w czasie preparatyki i przechowywania. Etykieta macierzysta powinna mieć odpowiednie wymiary umożliwiające przyklejenie na niej etykiety głównej zgodnej z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wymaganiami ISBT</w:t>
            </w:r>
          </w:p>
        </w:tc>
        <w:tc>
          <w:tcPr>
            <w:tcW w:w="3021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TAK/NIE</w:t>
            </w:r>
          </w:p>
        </w:tc>
      </w:tr>
      <w:tr w:rsidR="00546B70" w:rsidTr="00546B70">
        <w:tc>
          <w:tcPr>
            <w:tcW w:w="704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337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Etykieta macierzysta musi posiadać znak CE oraz kody 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powiadające standardom ISBT 128</w:t>
            </w:r>
          </w:p>
        </w:tc>
        <w:tc>
          <w:tcPr>
            <w:tcW w:w="3021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TAK/NIE</w:t>
            </w:r>
          </w:p>
        </w:tc>
      </w:tr>
      <w:tr w:rsidR="00546B70" w:rsidTr="00546B70">
        <w:tc>
          <w:tcPr>
            <w:tcW w:w="704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5337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Etykiety muszą zawierać :</w:t>
            </w:r>
          </w:p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a) nazwę firmy i nazwę zestawu,</w:t>
            </w:r>
          </w:p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b) numer serii w postaci literowo-cyfrowej i kodu kreskowego,</w:t>
            </w:r>
          </w:p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c) numer REF</w:t>
            </w:r>
          </w:p>
        </w:tc>
        <w:tc>
          <w:tcPr>
            <w:tcW w:w="3021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TAK/NIE</w:t>
            </w:r>
          </w:p>
        </w:tc>
      </w:tr>
      <w:tr w:rsidR="00546B70" w:rsidTr="00546B70">
        <w:tc>
          <w:tcPr>
            <w:tcW w:w="704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337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Każdy element zestawu zamknięty w indywidualnym opakowaniu zabezpieczającym, zapewniającym odpowiednią wilgotność w czasie przechowywania. Pojedyncze zestawy muszą być zapakowane w odporne na uszkodzenia opakowanie zbiorcze. Jedno opakowanie zbiorcze może zawi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erać zestawy tylko jednej serii</w:t>
            </w:r>
          </w:p>
        </w:tc>
        <w:tc>
          <w:tcPr>
            <w:tcW w:w="3021" w:type="dxa"/>
          </w:tcPr>
          <w:p w:rsidR="00546B70" w:rsidRPr="00546B70" w:rsidRDefault="00546B70" w:rsidP="00546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B70">
              <w:rPr>
                <w:rFonts w:ascii="Times New Roman" w:hAnsi="Times New Roman" w:cs="Times New Roman"/>
                <w:sz w:val="24"/>
                <w:szCs w:val="24"/>
              </w:rPr>
              <w:t>TAK/NIE</w:t>
            </w:r>
          </w:p>
        </w:tc>
      </w:tr>
    </w:tbl>
    <w:p w:rsidR="00546B70" w:rsidRPr="00546B70" w:rsidRDefault="00546B70" w:rsidP="00546B70">
      <w:pPr>
        <w:rPr>
          <w:rFonts w:ascii="Times New Roman" w:hAnsi="Times New Roman" w:cs="Times New Roman"/>
          <w:sz w:val="24"/>
          <w:szCs w:val="24"/>
        </w:rPr>
      </w:pPr>
    </w:p>
    <w:p w:rsidR="00546B70" w:rsidRPr="00546B70" w:rsidRDefault="00546B70" w:rsidP="00546B70">
      <w:pPr>
        <w:rPr>
          <w:rFonts w:ascii="Times New Roman" w:hAnsi="Times New Roman" w:cs="Times New Roman"/>
          <w:b/>
          <w:sz w:val="24"/>
          <w:szCs w:val="24"/>
        </w:rPr>
      </w:pPr>
      <w:r w:rsidRPr="00546B70">
        <w:rPr>
          <w:rFonts w:ascii="Times New Roman" w:hAnsi="Times New Roman" w:cs="Times New Roman"/>
          <w:b/>
          <w:sz w:val="24"/>
          <w:szCs w:val="24"/>
        </w:rPr>
        <w:t>Niespełnienie któregokolwiek z powyższych wymogów powoduje odrzucenie oferty jako niezgodnej z SWZ.</w:t>
      </w:r>
    </w:p>
    <w:p w:rsidR="00546B70" w:rsidRDefault="00546B70" w:rsidP="00546B70">
      <w:pPr>
        <w:rPr>
          <w:rFonts w:ascii="Times New Roman" w:hAnsi="Times New Roman" w:cs="Times New Roman"/>
          <w:sz w:val="24"/>
          <w:szCs w:val="24"/>
        </w:rPr>
      </w:pPr>
    </w:p>
    <w:p w:rsidR="00546B70" w:rsidRDefault="00546B70" w:rsidP="00546B70">
      <w:pPr>
        <w:rPr>
          <w:rFonts w:ascii="Times New Roman" w:hAnsi="Times New Roman" w:cs="Times New Roman"/>
          <w:sz w:val="24"/>
          <w:szCs w:val="24"/>
        </w:rPr>
      </w:pPr>
    </w:p>
    <w:p w:rsidR="00546B70" w:rsidRPr="00546B70" w:rsidRDefault="00546B70" w:rsidP="00546B70">
      <w:pPr>
        <w:rPr>
          <w:rFonts w:ascii="Times New Roman" w:hAnsi="Times New Roman" w:cs="Times New Roman"/>
          <w:sz w:val="24"/>
          <w:szCs w:val="24"/>
        </w:rPr>
      </w:pPr>
    </w:p>
    <w:p w:rsidR="00546B70" w:rsidRPr="00546B70" w:rsidRDefault="00546B70" w:rsidP="00546B70">
      <w:pPr>
        <w:rPr>
          <w:rFonts w:ascii="Times New Roman" w:hAnsi="Times New Roman" w:cs="Times New Roman"/>
          <w:sz w:val="24"/>
          <w:szCs w:val="24"/>
        </w:rPr>
      </w:pPr>
      <w:r w:rsidRPr="00546B70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546B70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546B70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546B70" w:rsidRPr="00546B70" w:rsidRDefault="00546B70" w:rsidP="00546B70">
      <w:pPr>
        <w:rPr>
          <w:rFonts w:ascii="Times New Roman" w:hAnsi="Times New Roman" w:cs="Times New Roman"/>
          <w:sz w:val="24"/>
          <w:szCs w:val="24"/>
        </w:rPr>
      </w:pPr>
    </w:p>
    <w:p w:rsidR="00546B70" w:rsidRPr="00546B70" w:rsidRDefault="00546B70" w:rsidP="00546B70">
      <w:pPr>
        <w:rPr>
          <w:rFonts w:ascii="Times New Roman" w:hAnsi="Times New Roman" w:cs="Times New Roman"/>
          <w:sz w:val="24"/>
          <w:szCs w:val="24"/>
        </w:rPr>
      </w:pPr>
    </w:p>
    <w:p w:rsidR="00546B70" w:rsidRPr="00546B70" w:rsidRDefault="00546B70" w:rsidP="00546B70">
      <w:pPr>
        <w:rPr>
          <w:rFonts w:ascii="Times New Roman" w:hAnsi="Times New Roman" w:cs="Times New Roman"/>
          <w:sz w:val="24"/>
          <w:szCs w:val="24"/>
        </w:rPr>
      </w:pPr>
    </w:p>
    <w:p w:rsidR="00546B70" w:rsidRPr="00546B70" w:rsidRDefault="00546B70" w:rsidP="00546B70">
      <w:pPr>
        <w:rPr>
          <w:rFonts w:ascii="Times New Roman" w:hAnsi="Times New Roman" w:cs="Times New Roman"/>
          <w:sz w:val="24"/>
          <w:szCs w:val="24"/>
        </w:rPr>
      </w:pPr>
    </w:p>
    <w:p w:rsidR="00546B70" w:rsidRPr="00546B70" w:rsidRDefault="00546B70" w:rsidP="00546B70">
      <w:pPr>
        <w:rPr>
          <w:rFonts w:ascii="Times New Roman" w:hAnsi="Times New Roman" w:cs="Times New Roman"/>
          <w:sz w:val="24"/>
          <w:szCs w:val="24"/>
        </w:rPr>
      </w:pPr>
      <w:r w:rsidRPr="00546B70">
        <w:rPr>
          <w:rFonts w:ascii="Times New Roman" w:hAnsi="Times New Roman" w:cs="Times New Roman"/>
          <w:sz w:val="24"/>
          <w:szCs w:val="24"/>
        </w:rPr>
        <w:tab/>
      </w:r>
      <w:r w:rsidRPr="00546B70">
        <w:rPr>
          <w:rFonts w:ascii="Times New Roman" w:hAnsi="Times New Roman" w:cs="Times New Roman"/>
          <w:sz w:val="24"/>
          <w:szCs w:val="24"/>
        </w:rPr>
        <w:tab/>
      </w:r>
      <w:r w:rsidRPr="00546B70">
        <w:rPr>
          <w:rFonts w:ascii="Times New Roman" w:hAnsi="Times New Roman" w:cs="Times New Roman"/>
          <w:sz w:val="24"/>
          <w:szCs w:val="24"/>
        </w:rPr>
        <w:tab/>
      </w:r>
      <w:r w:rsidRPr="00546B70">
        <w:rPr>
          <w:rFonts w:ascii="Times New Roman" w:hAnsi="Times New Roman" w:cs="Times New Roman"/>
          <w:sz w:val="24"/>
          <w:szCs w:val="24"/>
        </w:rPr>
        <w:tab/>
      </w:r>
      <w:r w:rsidRPr="00546B70">
        <w:rPr>
          <w:rFonts w:ascii="Times New Roman" w:hAnsi="Times New Roman" w:cs="Times New Roman"/>
          <w:sz w:val="24"/>
          <w:szCs w:val="24"/>
        </w:rPr>
        <w:tab/>
      </w:r>
      <w:r w:rsidRPr="00546B70">
        <w:rPr>
          <w:rFonts w:ascii="Times New Roman" w:hAnsi="Times New Roman" w:cs="Times New Roman"/>
          <w:sz w:val="24"/>
          <w:szCs w:val="24"/>
        </w:rPr>
        <w:tab/>
      </w:r>
      <w:r w:rsidRPr="00546B70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546B70" w:rsidRPr="00546B70" w:rsidRDefault="00546B70" w:rsidP="00546B70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546B70">
        <w:rPr>
          <w:rFonts w:ascii="Times New Roman" w:hAnsi="Times New Roman" w:cs="Times New Roman"/>
          <w:i/>
          <w:sz w:val="24"/>
          <w:szCs w:val="24"/>
        </w:rPr>
        <w:t xml:space="preserve">(oświadczenie podpisane </w:t>
      </w:r>
    </w:p>
    <w:p w:rsidR="00546B70" w:rsidRPr="00546B70" w:rsidRDefault="00546B70" w:rsidP="00546B70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546B70">
        <w:rPr>
          <w:rFonts w:ascii="Times New Roman" w:hAnsi="Times New Roman" w:cs="Times New Roman"/>
          <w:i/>
          <w:sz w:val="24"/>
          <w:szCs w:val="24"/>
        </w:rPr>
        <w:t>elektronicznie przez Imię i Nazwisko</w:t>
      </w:r>
    </w:p>
    <w:p w:rsidR="00546B70" w:rsidRPr="00546B70" w:rsidRDefault="00546B70" w:rsidP="00546B70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546B70">
        <w:rPr>
          <w:rFonts w:ascii="Times New Roman" w:hAnsi="Times New Roman" w:cs="Times New Roman"/>
          <w:i/>
          <w:sz w:val="24"/>
          <w:szCs w:val="24"/>
        </w:rPr>
        <w:t xml:space="preserve"> – pełniona funkcja w firmie)</w:t>
      </w:r>
    </w:p>
    <w:p w:rsidR="00546B70" w:rsidRPr="00546B70" w:rsidRDefault="00546B70" w:rsidP="00546B7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46B70" w:rsidRPr="00546B70" w:rsidRDefault="00546B70" w:rsidP="00546B70">
      <w:pPr>
        <w:rPr>
          <w:rFonts w:ascii="Times New Roman" w:hAnsi="Times New Roman" w:cs="Times New Roman"/>
          <w:sz w:val="24"/>
          <w:szCs w:val="24"/>
        </w:rPr>
      </w:pPr>
    </w:p>
    <w:p w:rsidR="00546B70" w:rsidRPr="00546B70" w:rsidRDefault="00546B70" w:rsidP="00546B70">
      <w:pPr>
        <w:rPr>
          <w:rFonts w:ascii="Times New Roman" w:hAnsi="Times New Roman" w:cs="Times New Roman"/>
          <w:b/>
          <w:sz w:val="24"/>
          <w:szCs w:val="24"/>
        </w:rPr>
      </w:pPr>
    </w:p>
    <w:sectPr w:rsidR="00546B70" w:rsidRPr="00546B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15E3C"/>
    <w:multiLevelType w:val="hybridMultilevel"/>
    <w:tmpl w:val="0930DF3E"/>
    <w:lvl w:ilvl="0" w:tplc="5CE655AC">
      <w:start w:val="1"/>
      <w:numFmt w:val="decimal"/>
      <w:lvlText w:val="%1)"/>
      <w:lvlJc w:val="left"/>
      <w:pPr>
        <w:ind w:left="6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B70"/>
    <w:rsid w:val="00025C39"/>
    <w:rsid w:val="00546B70"/>
    <w:rsid w:val="00C35EE7"/>
    <w:rsid w:val="00D45ACA"/>
    <w:rsid w:val="00E03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75637C-A60B-49A7-9891-195959224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46B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417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Pracownik</cp:lastModifiedBy>
  <cp:revision>2</cp:revision>
  <dcterms:created xsi:type="dcterms:W3CDTF">2026-03-13T11:48:00Z</dcterms:created>
  <dcterms:modified xsi:type="dcterms:W3CDTF">2026-03-13T11:48:00Z</dcterms:modified>
</cp:coreProperties>
</file>